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B" w:rsidRDefault="003E7AAB" w:rsidP="003E7AAB">
      <w:pPr>
        <w:jc w:val="right"/>
      </w:pPr>
      <w:r w:rsidRPr="009C0E1E">
        <w:rPr>
          <w:sz w:val="32"/>
        </w:rPr>
        <w:tab/>
      </w:r>
      <w:r w:rsidRPr="009C0E1E">
        <w:rPr>
          <w:sz w:val="32"/>
        </w:rPr>
        <w:tab/>
      </w:r>
      <w:r w:rsidRPr="009C0E1E">
        <w:t>Name</w:t>
      </w:r>
    </w:p>
    <w:p w:rsidR="003E7AAB" w:rsidRDefault="003E7AAB" w:rsidP="003E7AAB">
      <w:pPr>
        <w:jc w:val="right"/>
      </w:pPr>
      <w:r>
        <w:t>Hour</w:t>
      </w:r>
    </w:p>
    <w:p w:rsidR="003E7AAB" w:rsidRDefault="003E7AAB" w:rsidP="003E7AAB">
      <w:pPr>
        <w:jc w:val="right"/>
      </w:pPr>
      <w:r>
        <w:t>Teacher</w:t>
      </w:r>
    </w:p>
    <w:p w:rsidR="003E7AAB" w:rsidRPr="009010BD" w:rsidRDefault="00B4118E" w:rsidP="003E7AAB">
      <w:pPr>
        <w:jc w:val="center"/>
        <w:rPr>
          <w:sz w:val="32"/>
        </w:rPr>
      </w:pPr>
      <w:r>
        <w:rPr>
          <w:rStyle w:val="Heading1Char"/>
          <w:color w:val="auto"/>
        </w:rPr>
        <w:t>Radioactive Decay</w:t>
      </w:r>
      <w:r w:rsidR="003E7AAB">
        <w:rPr>
          <w:rStyle w:val="Heading1Char"/>
          <w:color w:val="auto"/>
        </w:rPr>
        <w:t xml:space="preserve"> Lab</w:t>
      </w:r>
      <w:r w:rsidR="003E7AAB" w:rsidRPr="009C0E1E">
        <w:rPr>
          <w:rStyle w:val="Heading1Char"/>
          <w:color w:val="auto"/>
        </w:rPr>
        <w:t xml:space="preserve"> Report</w:t>
      </w:r>
    </w:p>
    <w:p w:rsidR="003E7AAB" w:rsidRDefault="003E7AAB" w:rsidP="003E7AAB">
      <w:pPr>
        <w:pStyle w:val="Heading2"/>
        <w:rPr>
          <w:color w:val="auto"/>
        </w:rPr>
      </w:pPr>
      <w:r w:rsidRPr="009C0E1E">
        <w:rPr>
          <w:color w:val="auto"/>
        </w:rPr>
        <w:t xml:space="preserve">Introduction </w:t>
      </w:r>
    </w:p>
    <w:p w:rsidR="00AA0FA5" w:rsidRDefault="00FF496E" w:rsidP="00AA0F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In paragraph form discuss the </w:t>
      </w:r>
      <w:r w:rsidRPr="006C6AF2">
        <w:rPr>
          <w:rFonts w:cs="TimesNewRomanPSMT"/>
        </w:rPr>
        <w:t xml:space="preserve">following: </w:t>
      </w:r>
    </w:p>
    <w:p w:rsidR="00AA0FA5" w:rsidRPr="00AA0FA5" w:rsidRDefault="00AA0FA5" w:rsidP="00AA0F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 xml:space="preserve">Discuss </w:t>
      </w:r>
      <w:r w:rsidR="003E7AAB">
        <w:t xml:space="preserve">any important background information </w:t>
      </w:r>
    </w:p>
    <w:p w:rsidR="003E7AAB" w:rsidRPr="00AA0FA5" w:rsidRDefault="0052242B" w:rsidP="00AA0F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Discuss the objectives of this lab</w:t>
      </w:r>
    </w:p>
    <w:p w:rsidR="003E7AAB" w:rsidRDefault="003E7AAB" w:rsidP="003E7AAB">
      <w:pPr>
        <w:pStyle w:val="Heading2"/>
        <w:rPr>
          <w:color w:val="auto"/>
        </w:rPr>
      </w:pPr>
      <w:r w:rsidRPr="009C0E1E">
        <w:rPr>
          <w:color w:val="auto"/>
        </w:rPr>
        <w:t>Materials and Methods</w:t>
      </w:r>
    </w:p>
    <w:p w:rsidR="003E7AAB" w:rsidRDefault="003E7AAB" w:rsidP="00AA0FA5">
      <w:pPr>
        <w:sectPr w:rsidR="003E7AAB" w:rsidSect="000069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7AAB" w:rsidRDefault="003E7AAB" w:rsidP="003E7AAB">
      <w:pPr>
        <w:pStyle w:val="ListParagraph"/>
        <w:numPr>
          <w:ilvl w:val="0"/>
          <w:numId w:val="1"/>
        </w:numPr>
      </w:pPr>
      <w:r>
        <w:lastRenderedPageBreak/>
        <w:t>Provide a bulleted list of all the materials needed for the lab</w:t>
      </w:r>
    </w:p>
    <w:p w:rsidR="00AA0FA5" w:rsidRDefault="00AA0FA5" w:rsidP="00AA0FA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A0FA5">
        <w:rPr>
          <w:rFonts w:cs="TimesNewRomanPSMT"/>
        </w:rPr>
        <w:t xml:space="preserve">In paragraph form discuss the following: </w:t>
      </w:r>
    </w:p>
    <w:p w:rsidR="00AA0FA5" w:rsidRPr="00AA0FA5" w:rsidRDefault="00AA0FA5" w:rsidP="00AA0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sz w:val="23"/>
          <w:szCs w:val="21"/>
        </w:rPr>
        <w:t xml:space="preserve">discuss </w:t>
      </w:r>
      <w:r w:rsidR="003E7AAB" w:rsidRPr="00AA0FA5">
        <w:rPr>
          <w:rFonts w:cs="TimesNewRomanPSMT"/>
          <w:sz w:val="23"/>
          <w:szCs w:val="21"/>
        </w:rPr>
        <w:t xml:space="preserve">the number of trials </w:t>
      </w:r>
      <w:r>
        <w:rPr>
          <w:rFonts w:cs="TimesNewRomanPSMT"/>
          <w:sz w:val="23"/>
          <w:szCs w:val="21"/>
        </w:rPr>
        <w:t>conducted in the experiment</w:t>
      </w:r>
    </w:p>
    <w:p w:rsidR="00AA0FA5" w:rsidRDefault="003E7AAB" w:rsidP="00AA0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gramStart"/>
      <w:r w:rsidRPr="00AA0FA5">
        <w:rPr>
          <w:rFonts w:cs="TimesNewRomanPSMT"/>
          <w:sz w:val="23"/>
          <w:szCs w:val="21"/>
        </w:rPr>
        <w:t>give</w:t>
      </w:r>
      <w:proofErr w:type="gramEnd"/>
      <w:r w:rsidRPr="00AA0FA5">
        <w:rPr>
          <w:rFonts w:cs="TimesNewRomanPSMT"/>
          <w:sz w:val="23"/>
          <w:szCs w:val="21"/>
        </w:rPr>
        <w:t xml:space="preserve"> a numbered </w:t>
      </w:r>
      <w:r w:rsidRPr="00AA0FA5">
        <w:rPr>
          <w:rFonts w:cs="TimesNewRomanPSMT"/>
        </w:rPr>
        <w:t xml:space="preserve">step-by-step description of the activities to be done in order to gather the information needed to achieve the purpose of the experimentation. </w:t>
      </w:r>
      <w:r w:rsidR="00AA0FA5">
        <w:rPr>
          <w:rFonts w:cs="TimesNewRomanPSMT"/>
        </w:rPr>
        <w:t>(</w:t>
      </w:r>
      <w:r w:rsidRPr="00AA0FA5">
        <w:rPr>
          <w:rFonts w:cs="TimesNewRomanPSMT"/>
        </w:rPr>
        <w:t>This needs to be detailed and precise so another person can repeat the experiment exactly</w:t>
      </w:r>
      <w:r w:rsidR="00AA0FA5">
        <w:rPr>
          <w:rFonts w:cs="TimesNewRomanPSMT"/>
        </w:rPr>
        <w:t>)</w:t>
      </w:r>
      <w:r w:rsidRPr="00AA0FA5">
        <w:rPr>
          <w:rFonts w:cs="TimesNewRomanPSMT"/>
        </w:rPr>
        <w:t>.</w:t>
      </w:r>
    </w:p>
    <w:p w:rsidR="00AA0FA5" w:rsidRDefault="00AA0FA5" w:rsidP="00AA0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Include any equations you used in your calculations.</w:t>
      </w:r>
    </w:p>
    <w:p w:rsidR="003E7AAB" w:rsidRPr="00AA0FA5" w:rsidRDefault="003E7AAB" w:rsidP="00AA0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  <w:sectPr w:rsidR="003E7AAB" w:rsidRPr="00AA0FA5" w:rsidSect="001A30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A0FA5">
        <w:rPr>
          <w:rFonts w:cs="TimesNewRomanPSMT"/>
        </w:rPr>
        <w:t xml:space="preserve"> All units need to be in METRIC.</w:t>
      </w:r>
    </w:p>
    <w:p w:rsidR="003E7AAB" w:rsidRDefault="003E7AAB" w:rsidP="003E7AAB">
      <w:pPr>
        <w:pStyle w:val="Heading2"/>
        <w:rPr>
          <w:color w:val="auto"/>
        </w:rPr>
      </w:pPr>
      <w:r w:rsidRPr="009C0E1E">
        <w:rPr>
          <w:color w:val="auto"/>
        </w:rPr>
        <w:lastRenderedPageBreak/>
        <w:t>Results</w:t>
      </w:r>
    </w:p>
    <w:p w:rsidR="00FF496E" w:rsidRPr="00FF496E" w:rsidRDefault="00FF496E" w:rsidP="00FF496E">
      <w:pPr>
        <w:pStyle w:val="Caption"/>
        <w:keepNext/>
        <w:rPr>
          <w:color w:val="auto"/>
          <w:sz w:val="22"/>
        </w:rPr>
      </w:pPr>
      <w:r w:rsidRPr="00FF496E">
        <w:rPr>
          <w:color w:val="auto"/>
          <w:sz w:val="22"/>
        </w:rPr>
        <w:t xml:space="preserve">Table </w:t>
      </w:r>
      <w:r w:rsidRPr="00FF496E">
        <w:rPr>
          <w:color w:val="auto"/>
          <w:sz w:val="22"/>
        </w:rPr>
        <w:fldChar w:fldCharType="begin"/>
      </w:r>
      <w:r w:rsidRPr="00FF496E">
        <w:rPr>
          <w:color w:val="auto"/>
          <w:sz w:val="22"/>
        </w:rPr>
        <w:instrText xml:space="preserve"> SEQ Table \* ARABIC </w:instrText>
      </w:r>
      <w:r w:rsidRPr="00FF496E">
        <w:rPr>
          <w:color w:val="auto"/>
          <w:sz w:val="22"/>
        </w:rPr>
        <w:fldChar w:fldCharType="separate"/>
      </w:r>
      <w:r w:rsidRPr="00FF496E">
        <w:rPr>
          <w:noProof/>
          <w:color w:val="auto"/>
          <w:sz w:val="22"/>
        </w:rPr>
        <w:t>1</w:t>
      </w:r>
      <w:r w:rsidRPr="00FF496E">
        <w:rPr>
          <w:color w:val="auto"/>
          <w:sz w:val="22"/>
        </w:rPr>
        <w:fldChar w:fldCharType="end"/>
      </w:r>
      <w:r w:rsidRPr="00FF496E">
        <w:rPr>
          <w:color w:val="auto"/>
          <w:sz w:val="22"/>
        </w:rPr>
        <w:t xml:space="preserve">: </w:t>
      </w:r>
      <w:r w:rsidR="001F11EA">
        <w:rPr>
          <w:color w:val="auto"/>
          <w:sz w:val="22"/>
        </w:rPr>
        <w:t>Class d</w:t>
      </w:r>
      <w:r w:rsidR="001F11EA" w:rsidRPr="00FF496E">
        <w:rPr>
          <w:color w:val="auto"/>
          <w:sz w:val="22"/>
        </w:rPr>
        <w:t>ata table illustrating</w:t>
      </w:r>
      <w:r w:rsidR="001F11EA">
        <w:rPr>
          <w:color w:val="auto"/>
          <w:sz w:val="22"/>
        </w:rPr>
        <w:t xml:space="preserve"> number of un-decayed skittles (isotopes) after each run/ half-life</w:t>
      </w:r>
      <w:r w:rsidR="001F11EA">
        <w:rPr>
          <w:color w:val="auto"/>
          <w:sz w:val="22"/>
        </w:rPr>
        <w:t>.</w:t>
      </w:r>
      <w:bookmarkStart w:id="0" w:name="_GoBack"/>
      <w:bookmarkEnd w:id="0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29"/>
        <w:gridCol w:w="841"/>
        <w:gridCol w:w="841"/>
        <w:gridCol w:w="841"/>
        <w:gridCol w:w="841"/>
        <w:gridCol w:w="841"/>
        <w:gridCol w:w="841"/>
        <w:gridCol w:w="1010"/>
        <w:gridCol w:w="1272"/>
        <w:gridCol w:w="1619"/>
      </w:tblGrid>
      <w:tr w:rsidR="004E47DF" w:rsidTr="004E47DF">
        <w:tc>
          <w:tcPr>
            <w:tcW w:w="629" w:type="dxa"/>
          </w:tcPr>
          <w:p w:rsidR="004E47DF" w:rsidRDefault="004E47DF" w:rsidP="003E7AAB">
            <w:pPr>
              <w:jc w:val="center"/>
            </w:pPr>
            <w:r>
              <w:t>Run</w:t>
            </w:r>
          </w:p>
        </w:tc>
        <w:tc>
          <w:tcPr>
            <w:tcW w:w="841" w:type="dxa"/>
          </w:tcPr>
          <w:p w:rsidR="004E47DF" w:rsidRDefault="004E47DF" w:rsidP="003E7AAB">
            <w:pPr>
              <w:jc w:val="center"/>
            </w:pPr>
            <w:r>
              <w:t>Group</w:t>
            </w:r>
            <w:r w:rsidR="00EF2C86">
              <w:t xml:space="preserve"> 1</w:t>
            </w:r>
          </w:p>
        </w:tc>
        <w:tc>
          <w:tcPr>
            <w:tcW w:w="841" w:type="dxa"/>
          </w:tcPr>
          <w:p w:rsidR="004E47DF" w:rsidRDefault="004E47DF" w:rsidP="003E7AAB">
            <w:pPr>
              <w:jc w:val="center"/>
            </w:pPr>
            <w:r>
              <w:t>Group</w:t>
            </w:r>
            <w:r w:rsidR="00EF2C86">
              <w:t xml:space="preserve"> 2</w:t>
            </w:r>
          </w:p>
        </w:tc>
        <w:tc>
          <w:tcPr>
            <w:tcW w:w="841" w:type="dxa"/>
          </w:tcPr>
          <w:p w:rsidR="004E47DF" w:rsidRDefault="004E47DF" w:rsidP="003E7AAB">
            <w:pPr>
              <w:jc w:val="center"/>
            </w:pPr>
            <w:r>
              <w:t>Group</w:t>
            </w:r>
            <w:r w:rsidR="00EF2C86">
              <w:t xml:space="preserve"> 3</w:t>
            </w:r>
          </w:p>
        </w:tc>
        <w:tc>
          <w:tcPr>
            <w:tcW w:w="841" w:type="dxa"/>
          </w:tcPr>
          <w:p w:rsidR="004E47DF" w:rsidRDefault="004E47DF" w:rsidP="003E7AAB">
            <w:pPr>
              <w:jc w:val="center"/>
            </w:pPr>
            <w:r>
              <w:t>Group</w:t>
            </w:r>
            <w:r w:rsidR="00EF2C86">
              <w:t xml:space="preserve"> 4</w:t>
            </w:r>
          </w:p>
        </w:tc>
        <w:tc>
          <w:tcPr>
            <w:tcW w:w="841" w:type="dxa"/>
          </w:tcPr>
          <w:p w:rsidR="004E47DF" w:rsidRDefault="004E47DF" w:rsidP="003E7AAB">
            <w:pPr>
              <w:jc w:val="center"/>
            </w:pPr>
            <w:r>
              <w:t>Group</w:t>
            </w:r>
            <w:r w:rsidR="00EF2C86">
              <w:t xml:space="preserve"> 5</w:t>
            </w:r>
          </w:p>
        </w:tc>
        <w:tc>
          <w:tcPr>
            <w:tcW w:w="841" w:type="dxa"/>
          </w:tcPr>
          <w:p w:rsidR="004E47DF" w:rsidRDefault="004E47DF" w:rsidP="003E7AAB">
            <w:pPr>
              <w:jc w:val="center"/>
            </w:pPr>
            <w:r>
              <w:t>Group</w:t>
            </w:r>
            <w:r w:rsidR="00EF2C86">
              <w:t xml:space="preserve"> 6</w:t>
            </w:r>
          </w:p>
        </w:tc>
        <w:tc>
          <w:tcPr>
            <w:tcW w:w="1010" w:type="dxa"/>
          </w:tcPr>
          <w:p w:rsidR="004E47DF" w:rsidRDefault="004E47DF" w:rsidP="003E7AAB">
            <w:pPr>
              <w:jc w:val="center"/>
            </w:pPr>
            <w:r>
              <w:t>Class Total</w:t>
            </w:r>
          </w:p>
        </w:tc>
        <w:tc>
          <w:tcPr>
            <w:tcW w:w="1272" w:type="dxa"/>
          </w:tcPr>
          <w:p w:rsidR="004E47DF" w:rsidRDefault="004E47DF" w:rsidP="003E7AAB">
            <w:pPr>
              <w:jc w:val="center"/>
            </w:pPr>
            <w:r>
              <w:t>Class Average</w:t>
            </w: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Probable value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0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  <w:r>
              <w:t>100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  <w:r>
              <w:t>100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  <w:r>
              <w:t>100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  <w:r>
              <w:t>100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  <w:r>
              <w:t>100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  <w:r>
              <w:t>100</w:t>
            </w: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  <w:r>
              <w:t>100</w:t>
            </w: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  <w:r>
              <w:t>100</w:t>
            </w: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100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1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50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25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3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12.5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6.25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5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3.125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6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1.56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7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0.78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8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4E47DF" w:rsidP="003E7AAB">
            <w:pPr>
              <w:jc w:val="center"/>
            </w:pPr>
            <w:r>
              <w:t>0.39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9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8E0EF7" w:rsidP="003E7AAB">
            <w:pPr>
              <w:jc w:val="center"/>
            </w:pPr>
            <w:r>
              <w:t>0.19</w:t>
            </w:r>
          </w:p>
        </w:tc>
      </w:tr>
      <w:tr w:rsidR="004E47DF" w:rsidTr="004E47DF">
        <w:tc>
          <w:tcPr>
            <w:tcW w:w="629" w:type="dxa"/>
          </w:tcPr>
          <w:p w:rsidR="004E47DF" w:rsidRDefault="004E47DF" w:rsidP="004E47DF">
            <w:pPr>
              <w:jc w:val="center"/>
            </w:pPr>
            <w:r>
              <w:t>10</w:t>
            </w: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841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010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272" w:type="dxa"/>
          </w:tcPr>
          <w:p w:rsidR="004E47DF" w:rsidRDefault="004E47DF" w:rsidP="004E47DF">
            <w:pPr>
              <w:jc w:val="right"/>
            </w:pPr>
          </w:p>
        </w:tc>
        <w:tc>
          <w:tcPr>
            <w:tcW w:w="1619" w:type="dxa"/>
          </w:tcPr>
          <w:p w:rsidR="004E47DF" w:rsidRDefault="008E0EF7" w:rsidP="003E7AAB">
            <w:pPr>
              <w:jc w:val="center"/>
            </w:pPr>
            <w:r>
              <w:t>0.098</w:t>
            </w:r>
          </w:p>
        </w:tc>
      </w:tr>
    </w:tbl>
    <w:p w:rsidR="003E7AAB" w:rsidRDefault="003E7AAB" w:rsidP="003E7AAB"/>
    <w:p w:rsidR="00FF496E" w:rsidRDefault="003E7AAB" w:rsidP="00FF496E">
      <w:pPr>
        <w:keepNext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7AAB" w:rsidRPr="00FF496E" w:rsidRDefault="00FF496E" w:rsidP="00FF496E">
      <w:pPr>
        <w:pStyle w:val="Caption"/>
        <w:rPr>
          <w:color w:val="auto"/>
          <w:sz w:val="22"/>
        </w:rPr>
      </w:pPr>
      <w:r w:rsidRPr="00FF496E">
        <w:rPr>
          <w:color w:val="auto"/>
          <w:sz w:val="22"/>
        </w:rPr>
        <w:t xml:space="preserve">Figure </w:t>
      </w:r>
      <w:r w:rsidRPr="00FF496E">
        <w:rPr>
          <w:color w:val="auto"/>
          <w:sz w:val="22"/>
        </w:rPr>
        <w:fldChar w:fldCharType="begin"/>
      </w:r>
      <w:r w:rsidRPr="00FF496E">
        <w:rPr>
          <w:color w:val="auto"/>
          <w:sz w:val="22"/>
        </w:rPr>
        <w:instrText xml:space="preserve"> SEQ Figure \* ARABIC </w:instrText>
      </w:r>
      <w:r w:rsidRPr="00FF496E">
        <w:rPr>
          <w:color w:val="auto"/>
          <w:sz w:val="22"/>
        </w:rPr>
        <w:fldChar w:fldCharType="separate"/>
      </w:r>
      <w:r w:rsidRPr="00FF496E">
        <w:rPr>
          <w:noProof/>
          <w:color w:val="auto"/>
          <w:sz w:val="22"/>
        </w:rPr>
        <w:t>1</w:t>
      </w:r>
      <w:r w:rsidRPr="00FF496E">
        <w:rPr>
          <w:color w:val="auto"/>
          <w:sz w:val="22"/>
        </w:rPr>
        <w:fldChar w:fldCharType="end"/>
      </w:r>
      <w:r w:rsidR="0052242B">
        <w:rPr>
          <w:color w:val="auto"/>
          <w:sz w:val="22"/>
        </w:rPr>
        <w:t>: Probable values</w:t>
      </w:r>
      <w:r w:rsidR="007A7CD5">
        <w:rPr>
          <w:color w:val="auto"/>
          <w:sz w:val="22"/>
        </w:rPr>
        <w:t>, class values and group values</w:t>
      </w:r>
    </w:p>
    <w:p w:rsidR="003E7AAB" w:rsidRDefault="003E7AAB" w:rsidP="003E7AAB">
      <w:pPr>
        <w:pStyle w:val="Heading2"/>
        <w:rPr>
          <w:color w:val="auto"/>
        </w:rPr>
      </w:pPr>
      <w:r w:rsidRPr="009C0E1E">
        <w:rPr>
          <w:color w:val="auto"/>
        </w:rPr>
        <w:t>Discussion</w:t>
      </w:r>
    </w:p>
    <w:p w:rsidR="00FF496E" w:rsidRDefault="00FF496E" w:rsidP="003E7AA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In paragraph form discuss the </w:t>
      </w:r>
      <w:r w:rsidR="003E7AAB" w:rsidRPr="006C6AF2">
        <w:rPr>
          <w:rFonts w:cs="TimesNewRomanPSMT"/>
        </w:rPr>
        <w:t xml:space="preserve">following: </w:t>
      </w:r>
    </w:p>
    <w:p w:rsidR="00FB1926" w:rsidRDefault="00B6540E" w:rsidP="00B6540E">
      <w:pPr>
        <w:pStyle w:val="ListParagraph"/>
        <w:numPr>
          <w:ilvl w:val="0"/>
          <w:numId w:val="3"/>
        </w:numPr>
      </w:pPr>
      <w:r>
        <w:t>Why didn’t each group get the same results?</w:t>
      </w:r>
    </w:p>
    <w:p w:rsidR="00B6540E" w:rsidRDefault="00B6540E" w:rsidP="00B6540E">
      <w:pPr>
        <w:pStyle w:val="ListParagraph"/>
        <w:numPr>
          <w:ilvl w:val="0"/>
          <w:numId w:val="3"/>
        </w:numPr>
      </w:pPr>
      <w:r>
        <w:t>What do the probable values represent?</w:t>
      </w:r>
    </w:p>
    <w:p w:rsidR="00B6540E" w:rsidRDefault="00B6540E" w:rsidP="00B6540E">
      <w:pPr>
        <w:pStyle w:val="ListParagraph"/>
        <w:numPr>
          <w:ilvl w:val="0"/>
          <w:numId w:val="3"/>
        </w:numPr>
      </w:pPr>
      <w:r>
        <w:t>Is there anything improbably about the probable values, whether as applied to M&amp;M’s or to atoms?</w:t>
      </w:r>
    </w:p>
    <w:p w:rsidR="00B6540E" w:rsidRDefault="00B6540E" w:rsidP="00B6540E">
      <w:pPr>
        <w:pStyle w:val="ListParagraph"/>
        <w:numPr>
          <w:ilvl w:val="0"/>
          <w:numId w:val="3"/>
        </w:numPr>
      </w:pPr>
      <w:r>
        <w:t>Which line, the class average or your group’s results, most closely resembles those of the probable values?</w:t>
      </w:r>
    </w:p>
    <w:p w:rsidR="00B6540E" w:rsidRDefault="00B6540E" w:rsidP="00B6540E">
      <w:pPr>
        <w:pStyle w:val="ListParagraph"/>
        <w:numPr>
          <w:ilvl w:val="0"/>
          <w:numId w:val="3"/>
        </w:numPr>
      </w:pPr>
      <w:r>
        <w:t>Do the earlier or later average trials of your class data most resemble the probable values? Why?</w:t>
      </w:r>
    </w:p>
    <w:p w:rsidR="00B6540E" w:rsidRDefault="00B6540E" w:rsidP="00B6540E">
      <w:pPr>
        <w:pStyle w:val="ListParagraph"/>
        <w:numPr>
          <w:ilvl w:val="0"/>
          <w:numId w:val="3"/>
        </w:numPr>
      </w:pPr>
      <w:r>
        <w:t>For how many half-lives do real or simulated atoms behave like probabilistic values? What are the implications for radiocarbon-dating and uranium-dating?</w:t>
      </w:r>
    </w:p>
    <w:p w:rsidR="00B6540E" w:rsidRDefault="00B6540E" w:rsidP="00B6540E">
      <w:pPr>
        <w:pStyle w:val="ListParagraph"/>
        <w:numPr>
          <w:ilvl w:val="0"/>
          <w:numId w:val="3"/>
        </w:numPr>
      </w:pPr>
      <w:r w:rsidRPr="00B6540E">
        <w:t>Is there any way to predict when a specific piece of candy will land marked side up or “decayed?” If you could follow the fate of an individual atom in a sample of radioactive material, could you predict when it would decay? Explain.</w:t>
      </w:r>
    </w:p>
    <w:p w:rsidR="00B6540E" w:rsidRDefault="00B6540E" w:rsidP="00B6540E">
      <w:pPr>
        <w:pStyle w:val="ListParagraph"/>
      </w:pPr>
    </w:p>
    <w:sectPr w:rsidR="00B6540E" w:rsidSect="009C0E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D4331"/>
    <w:multiLevelType w:val="hybridMultilevel"/>
    <w:tmpl w:val="075C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B412E"/>
    <w:multiLevelType w:val="hybridMultilevel"/>
    <w:tmpl w:val="ABC6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455E7"/>
    <w:multiLevelType w:val="hybridMultilevel"/>
    <w:tmpl w:val="6CB0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AB"/>
    <w:rsid w:val="001F11EA"/>
    <w:rsid w:val="002525EA"/>
    <w:rsid w:val="003E7AAB"/>
    <w:rsid w:val="004E47DF"/>
    <w:rsid w:val="00507ECA"/>
    <w:rsid w:val="0052242B"/>
    <w:rsid w:val="007A7CD5"/>
    <w:rsid w:val="008E0EF7"/>
    <w:rsid w:val="00AA0FA5"/>
    <w:rsid w:val="00B4118E"/>
    <w:rsid w:val="00B6540E"/>
    <w:rsid w:val="00EF2C86"/>
    <w:rsid w:val="00FB1926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55F17-079A-441C-BE29-FBDAAFD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AB"/>
  </w:style>
  <w:style w:type="paragraph" w:styleId="Heading1">
    <w:name w:val="heading 1"/>
    <w:basedOn w:val="Normal"/>
    <w:next w:val="Normal"/>
    <w:link w:val="Heading1Char"/>
    <w:uiPriority w:val="9"/>
    <w:qFormat/>
    <w:rsid w:val="003E7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7AAB"/>
    <w:pPr>
      <w:ind w:left="720"/>
      <w:contextualSpacing/>
    </w:pPr>
  </w:style>
  <w:style w:type="table" w:styleId="TableGrid">
    <w:name w:val="Table Grid"/>
    <w:basedOn w:val="TableNormal"/>
    <w:uiPriority w:val="59"/>
    <w:rsid w:val="003E7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9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Group Data</c:v>
                </c:pt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  <a:prstDash val="sysDot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Class Average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lgDashDot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Probable value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100</c:v>
                </c:pt>
                <c:pt idx="1">
                  <c:v>50</c:v>
                </c:pt>
                <c:pt idx="2">
                  <c:v>25</c:v>
                </c:pt>
                <c:pt idx="3">
                  <c:v>12.5</c:v>
                </c:pt>
                <c:pt idx="4">
                  <c:v>6.25</c:v>
                </c:pt>
                <c:pt idx="5">
                  <c:v>3.125</c:v>
                </c:pt>
                <c:pt idx="6">
                  <c:v>1.56</c:v>
                </c:pt>
                <c:pt idx="7">
                  <c:v>0.78</c:v>
                </c:pt>
                <c:pt idx="8">
                  <c:v>0.39</c:v>
                </c:pt>
                <c:pt idx="9">
                  <c:v>0.19</c:v>
                </c:pt>
                <c:pt idx="10">
                  <c:v>9.8000000000000004E-2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374527800"/>
        <c:axId val="248318928"/>
      </c:lineChart>
      <c:catAx>
        <c:axId val="374527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Half-lives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48318928"/>
        <c:crosses val="autoZero"/>
        <c:auto val="1"/>
        <c:lblAlgn val="ctr"/>
        <c:lblOffset val="100"/>
        <c:noMultiLvlLbl val="0"/>
      </c:catAx>
      <c:valAx>
        <c:axId val="24831892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Parent-isotope Atoms Left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74527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dakukris</dc:creator>
  <cp:keywords/>
  <dc:description/>
  <cp:lastModifiedBy>Daku, Kristen -D91</cp:lastModifiedBy>
  <cp:revision>3</cp:revision>
  <dcterms:created xsi:type="dcterms:W3CDTF">2014-05-19T17:31:00Z</dcterms:created>
  <dcterms:modified xsi:type="dcterms:W3CDTF">2014-05-19T20:31:00Z</dcterms:modified>
</cp:coreProperties>
</file>